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bookmarkStart w:id="10" w:name="_GoBack"/>
      <w:bookmarkEnd w:id="10"/>
      <w:r>
        <w:rPr>
          <w:rFonts w:ascii="Arial" w:hAnsi="Arial" w:cs="Arial"/>
          <w:b/>
          <w:bCs/>
          <w:snapToGrid w:val="0"/>
          <w:sz w:val="28"/>
          <w:szCs w:val="28"/>
        </w:rPr>
        <w:t>3GPP TSG-WG</w:t>
      </w:r>
      <w:r>
        <w:rPr>
          <w:rFonts w:hint="eastAsia" w:ascii="Arial" w:hAnsi="Arial" w:cs="Arial"/>
          <w:b/>
          <w:bCs/>
          <w:snapToGrid w:val="0"/>
          <w:sz w:val="28"/>
          <w:szCs w:val="28"/>
          <w:lang w:val="en-US" w:eastAsia="zh-CN"/>
        </w:rPr>
        <w:t>3</w:t>
      </w:r>
      <w:r>
        <w:rPr>
          <w:rFonts w:ascii="Arial" w:hAnsi="Arial" w:cs="Arial"/>
          <w:b/>
          <w:bCs/>
          <w:snapToGrid w:val="0"/>
          <w:sz w:val="28"/>
          <w:szCs w:val="28"/>
        </w:rPr>
        <w:t xml:space="preserve">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21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highlight w:val="none"/>
          <w:lang w:val="en-US" w:eastAsia="zh-CN"/>
        </w:rPr>
        <w:t xml:space="preserve"> </w:t>
      </w:r>
      <w:r>
        <w:rPr>
          <w:rFonts w:hint="eastAsia" w:ascii="Arial" w:hAnsi="Arial" w:cs="Arial"/>
          <w:b/>
          <w:bCs/>
          <w:snapToGrid w:val="0"/>
          <w:sz w:val="28"/>
          <w:szCs w:val="28"/>
          <w:highlight w:val="none"/>
          <w:lang w:val="en-GB"/>
        </w:rPr>
        <w:t xml:space="preserve"> </w:t>
      </w:r>
      <w:r>
        <w:rPr>
          <w:rFonts w:hint="eastAsia" w:ascii="Arial" w:hAnsi="Arial" w:cs="Arial"/>
          <w:b/>
          <w:bCs/>
          <w:snapToGrid w:val="0"/>
          <w:sz w:val="28"/>
          <w:szCs w:val="28"/>
          <w:highlight w:val="none"/>
          <w:lang w:val="en-US" w:eastAsia="zh-CN"/>
        </w:rPr>
        <w:t>R3-234438</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hint="eastAsia" w:ascii="Arial" w:hAnsi="Arial" w:cs="Arial"/>
          <w:b/>
          <w:bCs/>
          <w:snapToGrid w:val="0"/>
          <w:sz w:val="28"/>
          <w:szCs w:val="28"/>
          <w:lang w:val="en-US" w:eastAsia="zh-CN"/>
        </w:rPr>
        <w:t>Toulouse, France, Aug,</w:t>
      </w:r>
      <w:r>
        <w:rPr>
          <w:rFonts w:hint="eastAsia" w:ascii="Arial" w:hAnsi="Arial" w:cs="Arial"/>
          <w:b/>
          <w:bCs/>
          <w:snapToGrid w:val="0"/>
          <w:sz w:val="28"/>
          <w:szCs w:val="28"/>
          <w:lang w:eastAsia="zh-CN"/>
        </w:rPr>
        <w:t xml:space="preserve"> 202</w:t>
      </w:r>
      <w:r>
        <w:rPr>
          <w:rFonts w:hint="eastAsia" w:ascii="Arial" w:hAnsi="Arial" w:cs="Arial"/>
          <w:b/>
          <w:bCs/>
          <w:snapToGrid w:val="0"/>
          <w:sz w:val="28"/>
          <w:szCs w:val="28"/>
          <w:lang w:val="en-US" w:eastAsia="zh-CN"/>
        </w:rPr>
        <w:t>3</w:t>
      </w:r>
    </w:p>
    <w:p>
      <w:pPr>
        <w:widowControl w:val="0"/>
        <w:tabs>
          <w:tab w:val="left" w:pos="1701"/>
          <w:tab w:val="right" w:pos="9923"/>
        </w:tabs>
        <w:spacing w:before="120"/>
        <w:outlineLvl w:val="0"/>
        <w:rPr>
          <w:b/>
          <w:sz w:val="24"/>
        </w:rPr>
      </w:pP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Discussion on downlink lossless delivery</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16.3</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8"/>
      <w:bookmarkStart w:id="3" w:name="OLE_LINK57"/>
      <w:r>
        <w:t>Introduction</w:t>
      </w:r>
      <w:bookmarkEnd w:id="2"/>
      <w:bookmarkEnd w:id="3"/>
    </w:p>
    <w:p>
      <w:pPr>
        <w:adjustRightInd/>
        <w:spacing w:after="240" w:line="259" w:lineRule="auto"/>
        <w:contextualSpacing/>
        <w:jc w:val="both"/>
        <w:rPr>
          <w:rFonts w:hint="default"/>
          <w:sz w:val="20"/>
          <w:szCs w:val="20"/>
          <w:lang w:val="en-US"/>
        </w:rPr>
      </w:pPr>
      <w:bookmarkStart w:id="4" w:name="OLE_LINK98"/>
      <w:bookmarkStart w:id="5" w:name="OLE_LINK99"/>
      <w:r>
        <w:rPr>
          <w:rFonts w:hint="eastAsia"/>
          <w:sz w:val="20"/>
          <w:szCs w:val="20"/>
          <w:lang w:val="en-US" w:eastAsia="zh-CN"/>
        </w:rPr>
        <w:t xml:space="preserve">Service continuity had been discussed in last RAN3 meeting. For the handover procedure and lossless handover, it has reached the following agreements and left some open issues for further discussion. </w:t>
      </w:r>
      <w:r>
        <w:rPr>
          <w:sz w:val="20"/>
          <w:szCs w:val="20"/>
        </w:rPr>
        <w:t>I</w:t>
      </w:r>
      <w:r>
        <w:rPr>
          <w:rFonts w:hint="eastAsia"/>
          <w:sz w:val="20"/>
          <w:szCs w:val="20"/>
        </w:rPr>
        <w:t xml:space="preserve">n this </w:t>
      </w:r>
      <w:r>
        <w:rPr>
          <w:sz w:val="20"/>
          <w:szCs w:val="20"/>
        </w:rPr>
        <w:t>contribution</w:t>
      </w:r>
      <w:r>
        <w:rPr>
          <w:rFonts w:hint="eastAsia"/>
          <w:sz w:val="20"/>
          <w:szCs w:val="20"/>
        </w:rPr>
        <w:t xml:space="preserve">, we will </w:t>
      </w:r>
      <w:r>
        <w:rPr>
          <w:rFonts w:hint="eastAsia"/>
          <w:sz w:val="20"/>
          <w:szCs w:val="20"/>
          <w:lang w:val="en-US" w:eastAsia="zh-CN"/>
        </w:rPr>
        <w:t xml:space="preserve">further </w:t>
      </w:r>
      <w:r>
        <w:rPr>
          <w:rFonts w:hint="eastAsia"/>
          <w:sz w:val="20"/>
          <w:szCs w:val="20"/>
        </w:rPr>
        <w:t>discuss</w:t>
      </w:r>
      <w:r>
        <w:rPr>
          <w:rFonts w:hint="eastAsia"/>
          <w:sz w:val="20"/>
          <w:szCs w:val="20"/>
          <w:lang w:val="en-US" w:eastAsia="zh-CN"/>
        </w:rPr>
        <w:t xml:space="preserve"> service continuity for SL relay.</w:t>
      </w:r>
    </w:p>
    <w:bookmarkEnd w:id="4"/>
    <w:bookmarkEnd w:id="5"/>
    <w:p>
      <w:pPr>
        <w:pBdr>
          <w:top w:val="single" w:color="auto" w:sz="4" w:space="0"/>
          <w:left w:val="single" w:color="auto" w:sz="4" w:space="0"/>
          <w:bottom w:val="single" w:color="auto" w:sz="4" w:space="0"/>
          <w:right w:val="single" w:color="auto" w:sz="4" w:space="0"/>
        </w:pBdr>
        <w:jc w:val="both"/>
        <w:rPr>
          <w:rFonts w:hint="eastAsia"/>
          <w:b/>
          <w:bCs/>
          <w:sz w:val="20"/>
          <w:szCs w:val="20"/>
          <w:lang w:val="en-US" w:eastAsia="zh-CN"/>
        </w:rPr>
      </w:pPr>
      <w:bookmarkStart w:id="6" w:name="OLE_LINK71"/>
      <w:bookmarkStart w:id="7" w:name="OLE_LINK72"/>
      <w:r>
        <w:rPr>
          <w:rFonts w:hint="eastAsia"/>
          <w:b/>
          <w:bCs/>
          <w:sz w:val="20"/>
          <w:szCs w:val="20"/>
          <w:lang w:val="en-US" w:eastAsia="zh-CN"/>
        </w:rPr>
        <w:t>RAN3 Agreements:</w:t>
      </w:r>
    </w:p>
    <w:p>
      <w:pPr>
        <w:widowControl w:val="0"/>
        <w:pBdr>
          <w:top w:val="single" w:color="auto" w:sz="4" w:space="0"/>
          <w:left w:val="single" w:color="auto" w:sz="4" w:space="0"/>
          <w:bottom w:val="single" w:color="auto" w:sz="4" w:space="0"/>
          <w:right w:val="single" w:color="auto" w:sz="4" w:space="0"/>
        </w:pBdr>
        <w:spacing w:beforeAutospacing="0" w:after="0"/>
        <w:ind w:left="144" w:hanging="144"/>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During inter-gNB path switching, source gNB can signal the serving cell of the relay UE to target gNB via existing IE Target Cell Global ID. </w:t>
      </w:r>
    </w:p>
    <w:p>
      <w:pPr>
        <w:pBdr>
          <w:top w:val="single" w:color="auto" w:sz="4" w:space="0"/>
          <w:left w:val="single" w:color="auto" w:sz="4" w:space="0"/>
          <w:bottom w:val="single" w:color="auto" w:sz="4" w:space="0"/>
          <w:right w:val="single" w:color="auto" w:sz="4" w:space="0"/>
        </w:pBdr>
        <w:spacing w:beforeAutospacing="0" w:after="0"/>
        <w:rPr>
          <w:rFonts w:ascii="Calibri" w:hAnsi="Calibri" w:cs="Calibri"/>
          <w:i/>
          <w:iCs/>
          <w:color w:val="00B050"/>
          <w:kern w:val="2"/>
          <w:sz w:val="16"/>
          <w:szCs w:val="16"/>
          <w:lang w:eastAsia="en-US"/>
        </w:rPr>
      </w:pPr>
      <w:r>
        <w:rPr>
          <w:rFonts w:hint="eastAsia" w:ascii="Calibri" w:hAnsi="Calibri" w:cs="Calibri"/>
          <w:i/>
          <w:iCs/>
          <w:color w:val="00B050"/>
          <w:kern w:val="2"/>
          <w:sz w:val="16"/>
          <w:szCs w:val="16"/>
          <w:lang w:eastAsia="en-US"/>
        </w:rPr>
        <w:t>RAN3 do not pursue the two optimizations in R18:</w:t>
      </w:r>
    </w:p>
    <w:p>
      <w:pPr>
        <w:pBdr>
          <w:top w:val="single" w:color="auto" w:sz="4" w:space="0"/>
          <w:left w:val="single" w:color="auto" w:sz="4" w:space="0"/>
          <w:bottom w:val="single" w:color="auto" w:sz="4" w:space="0"/>
          <w:right w:val="single" w:color="auto" w:sz="4" w:space="0"/>
        </w:pBdr>
        <w:spacing w:beforeAutospacing="0" w:after="0"/>
        <w:ind w:left="0" w:leftChars="0" w:firstLine="320" w:firstLineChars="200"/>
        <w:jc w:val="both"/>
        <w:rPr>
          <w:rFonts w:hint="eastAsia" w:ascii="Calibri" w:hAnsi="Calibri" w:cs="Calibri"/>
          <w:i/>
          <w:iCs/>
          <w:color w:val="00B050"/>
          <w:kern w:val="2"/>
          <w:sz w:val="16"/>
          <w:szCs w:val="16"/>
          <w:lang w:eastAsia="en-US"/>
        </w:rPr>
      </w:pPr>
      <w:r>
        <w:rPr>
          <w:rFonts w:hint="eastAsia" w:ascii="Calibri" w:hAnsi="Calibri" w:cs="Calibri"/>
          <w:i/>
          <w:iCs/>
          <w:color w:val="00B050"/>
          <w:kern w:val="2"/>
          <w:sz w:val="16"/>
          <w:szCs w:val="16"/>
          <w:lang w:val="en-US" w:eastAsia="zh-CN"/>
        </w:rPr>
        <w:t>-</w:t>
      </w:r>
      <w:r>
        <w:rPr>
          <w:rFonts w:hint="eastAsia" w:ascii="Calibri" w:hAnsi="Calibri" w:cs="Calibri"/>
          <w:i/>
          <w:iCs/>
          <w:color w:val="00B050"/>
          <w:kern w:val="2"/>
          <w:sz w:val="16"/>
          <w:szCs w:val="16"/>
          <w:lang w:eastAsia="en-US"/>
        </w:rPr>
        <w:t>The list of candidate Relay UEs is an ordered list, e.g. based on the Remote UE</w:t>
      </w:r>
      <w:r>
        <w:rPr>
          <w:rFonts w:ascii="Calibri" w:hAnsi="Calibri" w:cs="Calibri"/>
          <w:i/>
          <w:iCs/>
          <w:color w:val="00B050"/>
          <w:kern w:val="2"/>
          <w:sz w:val="16"/>
          <w:szCs w:val="16"/>
          <w:lang w:eastAsia="en-US"/>
        </w:rPr>
        <w:t>’</w:t>
      </w:r>
      <w:r>
        <w:rPr>
          <w:rFonts w:hint="eastAsia" w:ascii="Calibri" w:hAnsi="Calibri" w:cs="Calibri"/>
          <w:i/>
          <w:iCs/>
          <w:color w:val="00B050"/>
          <w:kern w:val="2"/>
          <w:sz w:val="16"/>
          <w:szCs w:val="16"/>
          <w:lang w:eastAsia="en-US"/>
        </w:rPr>
        <w:t>s measurement report on candidate Relay UEs.</w:t>
      </w:r>
    </w:p>
    <w:p>
      <w:pPr>
        <w:pBdr>
          <w:top w:val="single" w:color="auto" w:sz="4" w:space="0"/>
          <w:left w:val="single" w:color="auto" w:sz="4" w:space="0"/>
          <w:bottom w:val="single" w:color="auto" w:sz="4" w:space="0"/>
          <w:right w:val="single" w:color="auto" w:sz="4" w:space="0"/>
        </w:pBdr>
        <w:spacing w:beforeAutospacing="0" w:after="0"/>
        <w:ind w:left="0" w:leftChars="0" w:firstLine="320" w:firstLineChars="200"/>
        <w:rPr>
          <w:rFonts w:hint="eastAsia" w:ascii="Calibri" w:hAnsi="Calibri" w:cs="Calibri"/>
          <w:i/>
          <w:iCs/>
          <w:color w:val="00B050"/>
          <w:kern w:val="2"/>
          <w:sz w:val="16"/>
          <w:szCs w:val="16"/>
          <w:lang w:eastAsia="en-US"/>
        </w:rPr>
      </w:pPr>
      <w:r>
        <w:rPr>
          <w:rFonts w:hint="eastAsia" w:ascii="Calibri" w:hAnsi="Calibri" w:cs="Calibri"/>
          <w:i/>
          <w:iCs/>
          <w:color w:val="00B050"/>
          <w:kern w:val="2"/>
          <w:sz w:val="16"/>
          <w:szCs w:val="16"/>
          <w:lang w:val="en-US" w:eastAsia="zh-CN"/>
        </w:rPr>
        <w:t>-</w:t>
      </w:r>
      <w:r>
        <w:rPr>
          <w:rFonts w:hint="eastAsia" w:ascii="Calibri" w:hAnsi="Calibri" w:cs="Calibri"/>
          <w:i/>
          <w:iCs/>
          <w:color w:val="00B050"/>
          <w:kern w:val="2"/>
          <w:sz w:val="16"/>
          <w:szCs w:val="16"/>
          <w:lang w:eastAsia="en-US"/>
        </w:rPr>
        <w:t>Target gNB include the selected target Relay UE in the XnAP HANDOVER REQUEST ACKNOWLEDGE message.</w:t>
      </w:r>
    </w:p>
    <w:p>
      <w:pPr>
        <w:pBdr>
          <w:top w:val="single" w:color="auto" w:sz="4" w:space="0"/>
          <w:left w:val="single" w:color="auto" w:sz="4" w:space="0"/>
          <w:bottom w:val="single" w:color="auto" w:sz="4" w:space="0"/>
          <w:right w:val="single" w:color="auto" w:sz="4" w:space="0"/>
        </w:pBdr>
        <w:spacing w:beforeAutospacing="0" w:after="0"/>
        <w:rPr>
          <w:rFonts w:ascii="Calibri" w:hAnsi="Calibri" w:cs="Calibri"/>
          <w:i/>
          <w:color w:val="FF0000"/>
          <w:sz w:val="16"/>
          <w:szCs w:val="16"/>
          <w:lang w:eastAsia="en-US"/>
        </w:rPr>
      </w:pPr>
      <w:r>
        <w:rPr>
          <w:rFonts w:ascii="Calibri" w:hAnsi="Calibri" w:cs="Calibri"/>
          <w:i/>
          <w:color w:val="FF0000"/>
          <w:sz w:val="16"/>
          <w:szCs w:val="16"/>
          <w:lang w:eastAsia="en-US"/>
        </w:rPr>
        <w:t>Down-select between D4 and D5 in next meeting.</w:t>
      </w:r>
    </w:p>
    <w:p>
      <w:pPr>
        <w:pBdr>
          <w:top w:val="single" w:color="auto" w:sz="4" w:space="0"/>
          <w:left w:val="single" w:color="auto" w:sz="4" w:space="0"/>
          <w:bottom w:val="single" w:color="auto" w:sz="4" w:space="0"/>
          <w:right w:val="single" w:color="auto" w:sz="4" w:space="0"/>
        </w:pBdr>
        <w:spacing w:beforeAutospacing="0" w:after="0"/>
        <w:rPr>
          <w:rFonts w:hint="eastAsia" w:ascii="Calibri" w:hAnsi="Calibri" w:cs="Calibri"/>
          <w:i/>
          <w:iCs/>
          <w:color w:val="00B050"/>
          <w:kern w:val="2"/>
          <w:sz w:val="16"/>
          <w:szCs w:val="16"/>
          <w:lang w:eastAsia="en-US"/>
        </w:rPr>
      </w:pPr>
      <w:r>
        <w:rPr>
          <w:rFonts w:ascii="Calibri" w:hAnsi="Calibri" w:cs="Calibri"/>
          <w:i/>
          <w:iCs/>
          <w:color w:val="00B050"/>
          <w:kern w:val="2"/>
          <w:sz w:val="16"/>
          <w:szCs w:val="16"/>
          <w:lang w:eastAsia="en-US"/>
        </w:rPr>
        <w:t>The criticality of the candidate relay UE info list IE should be “reject” in the XnAP HANDOVER REQUEST message and the Source NG-RAN Node to Target NG-RAN Node Transparent Container IE over NGAP.</w:t>
      </w:r>
    </w:p>
    <w:p>
      <w:pPr>
        <w:pBdr>
          <w:top w:val="single" w:color="auto" w:sz="4" w:space="0"/>
          <w:left w:val="single" w:color="auto" w:sz="4" w:space="0"/>
          <w:bottom w:val="single" w:color="auto" w:sz="4" w:space="0"/>
          <w:right w:val="single" w:color="auto" w:sz="4" w:space="0"/>
        </w:pBdr>
        <w:spacing w:beforeAutospacing="0" w:after="0"/>
        <w:jc w:val="both"/>
        <w:rPr>
          <w:rFonts w:hint="eastAsia"/>
          <w:b/>
          <w:bCs/>
          <w:sz w:val="20"/>
          <w:szCs w:val="20"/>
          <w:lang w:val="en-US" w:eastAsia="zh-CN"/>
        </w:rPr>
      </w:pPr>
      <w:r>
        <w:rPr>
          <w:rFonts w:ascii="Calibri" w:hAnsi="Calibri" w:cs="Calibri"/>
          <w:i/>
          <w:color w:val="FF0000"/>
          <w:sz w:val="16"/>
          <w:szCs w:val="16"/>
          <w:lang w:eastAsia="en-US"/>
        </w:rPr>
        <w:t>FFS whether move step 7 before step 5 in inter-gNB d2i/i2i path switch procedures.</w:t>
      </w:r>
    </w:p>
    <w:p>
      <w:pPr>
        <w:pStyle w:val="2"/>
        <w:rPr>
          <w:rFonts w:hint="default" w:eastAsiaTheme="minorEastAsia"/>
          <w:lang w:val="en-US" w:eastAsia="zh-CN"/>
        </w:rPr>
      </w:pPr>
      <w:r>
        <w:t>D</w:t>
      </w:r>
      <w:r>
        <w:rPr>
          <w:rFonts w:hint="eastAsia"/>
        </w:rPr>
        <w:t>iscussio</w:t>
      </w:r>
      <w:bookmarkEnd w:id="6"/>
      <w:bookmarkEnd w:id="7"/>
      <w:bookmarkStart w:id="8" w:name="_Hlk59519022"/>
      <w:r>
        <w:rPr>
          <w:rFonts w:hint="eastAsia"/>
          <w:lang w:val="en-US" w:eastAsia="zh-CN"/>
        </w:rPr>
        <w:t>n</w:t>
      </w:r>
    </w:p>
    <w:p>
      <w:pPr>
        <w:jc w:val="both"/>
        <w:rPr>
          <w:rFonts w:hint="eastAsia"/>
          <w:sz w:val="20"/>
          <w:szCs w:val="20"/>
          <w:lang w:val="en-US" w:eastAsia="zh-CN"/>
        </w:rPr>
      </w:pPr>
      <w:r>
        <w:rPr>
          <w:rFonts w:hint="eastAsia"/>
          <w:sz w:val="20"/>
          <w:szCs w:val="20"/>
          <w:lang w:val="en-US" w:eastAsia="zh-CN"/>
        </w:rPr>
        <w:t>In last RAN2 and RAN3 meeting, the DL solutions for lossless handover have been discussed. RAN3 excluded solution D3 and decided to down select between D4 and D5 for downlink data delivery.</w:t>
      </w:r>
    </w:p>
    <w:p>
      <w:pPr>
        <w:jc w:val="both"/>
        <w:rPr>
          <w:rFonts w:eastAsia="宋体"/>
          <w:sz w:val="20"/>
          <w:szCs w:val="20"/>
          <w:lang w:eastAsia="zh-CN"/>
        </w:rPr>
      </w:pPr>
      <w:r>
        <w:rPr>
          <w:rFonts w:hint="eastAsia" w:eastAsia="宋体"/>
          <w:b/>
          <w:bCs/>
          <w:sz w:val="20"/>
          <w:szCs w:val="20"/>
          <w:lang w:eastAsia="zh-CN"/>
        </w:rPr>
        <w:t>Solution-D4</w:t>
      </w:r>
      <w:r>
        <w:rPr>
          <w:rFonts w:hint="eastAsia" w:eastAsia="宋体"/>
          <w:sz w:val="20"/>
          <w:szCs w:val="20"/>
          <w:lang w:eastAsia="zh-CN"/>
        </w:rPr>
        <w:t xml:space="preserve">: </w:t>
      </w:r>
      <w:r>
        <w:rPr>
          <w:sz w:val="20"/>
          <w:szCs w:val="20"/>
        </w:rPr>
        <w:t>Enhanced Data forwarding from source gNB to target gNB per target gNB request (legacy PDCP status report based)</w:t>
      </w:r>
    </w:p>
    <w:p>
      <w:pPr>
        <w:jc w:val="both"/>
        <w:rPr>
          <w:rFonts w:hint="eastAsia" w:eastAsia="宋体"/>
          <w:sz w:val="20"/>
          <w:szCs w:val="20"/>
          <w:lang w:eastAsia="zh-CN"/>
        </w:rPr>
      </w:pPr>
      <w:r>
        <w:rPr>
          <w:rFonts w:hint="eastAsia" w:eastAsia="宋体"/>
          <w:b/>
          <w:bCs/>
          <w:sz w:val="20"/>
          <w:szCs w:val="20"/>
          <w:lang w:eastAsia="zh-CN"/>
        </w:rPr>
        <w:t>Solution-D5</w:t>
      </w:r>
      <w:r>
        <w:rPr>
          <w:rFonts w:hint="eastAsia" w:eastAsia="宋体"/>
          <w:sz w:val="20"/>
          <w:szCs w:val="20"/>
          <w:lang w:eastAsia="zh-CN"/>
        </w:rPr>
        <w:t xml:space="preserve">: </w:t>
      </w:r>
      <w:r>
        <w:rPr>
          <w:sz w:val="20"/>
          <w:szCs w:val="20"/>
        </w:rPr>
        <w:t>Proactive Data forwarding from source gNB to target gNB</w:t>
      </w:r>
      <w:r>
        <w:rPr>
          <w:rFonts w:hint="eastAsia" w:eastAsia="宋体"/>
          <w:sz w:val="20"/>
          <w:szCs w:val="20"/>
          <w:lang w:eastAsia="zh-CN"/>
        </w:rPr>
        <w:t xml:space="preserve"> (i.e. </w:t>
      </w:r>
      <w:r>
        <w:rPr>
          <w:sz w:val="20"/>
          <w:szCs w:val="20"/>
        </w:rPr>
        <w:t>allow the source gNB to forward all the buffered data to the target gNB</w:t>
      </w:r>
      <w:r>
        <w:rPr>
          <w:rFonts w:hint="eastAsia" w:eastAsia="宋体"/>
          <w:sz w:val="20"/>
          <w:szCs w:val="20"/>
          <w:lang w:eastAsia="zh-CN"/>
        </w:rPr>
        <w:t>).</w:t>
      </w:r>
    </w:p>
    <w:p>
      <w:pPr>
        <w:jc w:val="both"/>
        <w:rPr>
          <w:rFonts w:hint="eastAsia" w:cs="Times New Roman"/>
          <w:sz w:val="20"/>
          <w:szCs w:val="20"/>
          <w:highlight w:val="none"/>
          <w:lang w:val="en-US" w:eastAsia="zh-CN"/>
        </w:rPr>
      </w:pPr>
      <w:r>
        <w:rPr>
          <w:rFonts w:hint="eastAsia" w:ascii="Times New Roman" w:hAnsi="Times New Roman" w:cs="Times New Roman"/>
          <w:sz w:val="20"/>
          <w:szCs w:val="20"/>
          <w:highlight w:val="none"/>
          <w:lang w:val="en-US" w:eastAsia="zh-CN"/>
        </w:rPr>
        <w:t>For solution-D4, the target gNB requests the source gNB to additionally forward the missing DL packets that were not forwarded earlier after receiving the PDCP status report</w:t>
      </w:r>
      <w:r>
        <w:rPr>
          <w:rFonts w:hint="eastAsia" w:cs="Times New Roman"/>
          <w:sz w:val="20"/>
          <w:szCs w:val="20"/>
          <w:highlight w:val="none"/>
          <w:lang w:val="en-US" w:eastAsia="zh-CN"/>
        </w:rPr>
        <w:t>. An indicator from target gNB to source gNB is needed at Xn interface to indicate the missing DL packets. The source gNB should forward the missing data as indicated by target gNB. As in solution-D4, an indicator for missing data and data forwarding procedure are introduced, which may increase the complexity for network implementation.</w:t>
      </w:r>
    </w:p>
    <w:p>
      <w:pPr>
        <w:jc w:val="both"/>
        <w:rPr>
          <w:rFonts w:hint="default" w:cs="Times New Roman"/>
          <w:b/>
          <w:bCs/>
          <w:sz w:val="20"/>
          <w:szCs w:val="20"/>
          <w:highlight w:val="none"/>
          <w:lang w:val="en-US" w:eastAsia="zh-CN"/>
        </w:rPr>
      </w:pPr>
      <w:bookmarkStart w:id="9" w:name="OLE_LINK1"/>
      <w:r>
        <w:rPr>
          <w:rFonts w:hint="eastAsia" w:cs="Times New Roman"/>
          <w:b/>
          <w:bCs/>
          <w:sz w:val="20"/>
          <w:szCs w:val="20"/>
          <w:highlight w:val="none"/>
          <w:lang w:val="en-US" w:eastAsia="zh-CN"/>
        </w:rPr>
        <w:t xml:space="preserve">Proposal 1: </w:t>
      </w:r>
      <w:bookmarkEnd w:id="9"/>
      <w:r>
        <w:rPr>
          <w:rFonts w:hint="eastAsia" w:cs="Times New Roman"/>
          <w:b/>
          <w:bCs/>
          <w:sz w:val="20"/>
          <w:szCs w:val="20"/>
          <w:highlight w:val="none"/>
          <w:lang w:val="en-US" w:eastAsia="zh-CN"/>
        </w:rPr>
        <w:t>Indicator from target gNB to source gNB is needed to inform source gNB about the missing data as solution-D4.</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2: Data forwarding procedure after RAN HO Completion shall be introduced as solution-D4.</w:t>
      </w:r>
    </w:p>
    <w:p>
      <w:pPr>
        <w:jc w:val="both"/>
        <w:rPr>
          <w:rFonts w:hint="eastAsia" w:cs="Times New Roman"/>
          <w:sz w:val="20"/>
          <w:szCs w:val="20"/>
          <w:highlight w:val="none"/>
          <w:lang w:val="en-US" w:eastAsia="zh-CN"/>
        </w:rPr>
      </w:pPr>
      <w:r>
        <w:rPr>
          <w:rFonts w:hint="eastAsia" w:cs="Times New Roman"/>
          <w:sz w:val="20"/>
          <w:szCs w:val="20"/>
          <w:highlight w:val="none"/>
          <w:lang w:val="en-US" w:eastAsia="zh-CN"/>
        </w:rPr>
        <w:t xml:space="preserve">For solution-D5, source gNB may forwarding all the buffered data at PDCP transmitting entity to target gNB. Comparing with solution-D4, the indicator from target gNB to source gNB is not needed. However, as solution-D5, all the data in PDCP transmitting buffer should be forwarded to target gNB, which brings some overhead to Xn interface. </w:t>
      </w:r>
    </w:p>
    <w:p>
      <w:pPr>
        <w:jc w:val="both"/>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3: Data forwarding procedure after RAN HO Completion shall be introduced as solution-D5.</w:t>
      </w:r>
    </w:p>
    <w:p>
      <w:pPr>
        <w:jc w:val="both"/>
        <w:rPr>
          <w:rFonts w:hint="eastAsia" w:cs="Times New Roman"/>
          <w:b w:val="0"/>
          <w:bCs w:val="0"/>
          <w:sz w:val="20"/>
          <w:szCs w:val="20"/>
          <w:highlight w:val="none"/>
          <w:vertAlign w:val="baseline"/>
          <w:lang w:val="en-US" w:eastAsia="zh-CN"/>
        </w:rPr>
      </w:pPr>
      <w:r>
        <w:rPr>
          <w:rFonts w:hint="eastAsia" w:cs="Times New Roman"/>
          <w:b w:val="0"/>
          <w:bCs w:val="0"/>
          <w:sz w:val="20"/>
          <w:szCs w:val="20"/>
          <w:highlight w:val="none"/>
          <w:lang w:val="en-US" w:eastAsia="zh-CN"/>
        </w:rPr>
        <w:t>Comparing solution-D4 and solution-D5, we have the following information:</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4084"/>
        <w:gridCol w:w="4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22" w:type="dxa"/>
          </w:tcPr>
          <w:p>
            <w:pPr>
              <w:jc w:val="both"/>
              <w:rPr>
                <w:rFonts w:hint="eastAsia" w:cs="Times New Roman"/>
                <w:b w:val="0"/>
                <w:bCs w:val="0"/>
                <w:sz w:val="20"/>
                <w:szCs w:val="20"/>
                <w:highlight w:val="none"/>
                <w:vertAlign w:val="baseline"/>
                <w:lang w:val="en-US" w:eastAsia="zh-CN"/>
              </w:rPr>
            </w:pPr>
          </w:p>
        </w:tc>
        <w:tc>
          <w:tcPr>
            <w:tcW w:w="4084" w:type="dxa"/>
          </w:tcPr>
          <w:p>
            <w:p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Solution-D4</w:t>
            </w:r>
          </w:p>
        </w:tc>
        <w:tc>
          <w:tcPr>
            <w:tcW w:w="4036" w:type="dxa"/>
          </w:tcPr>
          <w:p>
            <w:p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Solution-D5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p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Source gNB</w:t>
            </w:r>
          </w:p>
        </w:tc>
        <w:tc>
          <w:tcPr>
            <w:tcW w:w="4084" w:type="dxa"/>
          </w:tcPr>
          <w:p>
            <w:pPr>
              <w:numPr>
                <w:ilvl w:val="0"/>
                <w:numId w:val="28"/>
              </w:num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Storing all the data without acknowledge by lower layer in PDCP transmission buffer</w:t>
            </w:r>
          </w:p>
          <w:p>
            <w:pPr>
              <w:numPr>
                <w:ilvl w:val="0"/>
                <w:numId w:val="28"/>
              </w:num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 xml:space="preserve">Receiving the indicator </w:t>
            </w:r>
          </w:p>
          <w:p>
            <w:pPr>
              <w:numPr>
                <w:ilvl w:val="0"/>
                <w:numId w:val="28"/>
              </w:numPr>
              <w:ind w:left="0" w:leftChars="0" w:firstLine="0" w:firstLineChars="0"/>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For warding the data as indicated</w:t>
            </w:r>
          </w:p>
        </w:tc>
        <w:tc>
          <w:tcPr>
            <w:tcW w:w="4036" w:type="dxa"/>
          </w:tcPr>
          <w:p>
            <w:pPr>
              <w:numPr>
                <w:ilvl w:val="0"/>
                <w:numId w:val="29"/>
              </w:num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 xml:space="preserve">Storing all the data without acknowledge by lower layer in PDCP transmission buffer </w:t>
            </w:r>
          </w:p>
          <w:p>
            <w:pPr>
              <w:numPr>
                <w:ilvl w:val="0"/>
                <w:numId w:val="29"/>
              </w:numPr>
              <w:ind w:left="0" w:leftChars="0" w:firstLine="0" w:firstLineChars="0"/>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None</w:t>
            </w:r>
          </w:p>
          <w:p>
            <w:pPr>
              <w:numPr>
                <w:ilvl w:val="0"/>
                <w:numId w:val="29"/>
              </w:numPr>
              <w:ind w:left="0" w:leftChars="0" w:firstLine="0" w:firstLineChars="0"/>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For warding all data in PDCP transmission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p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Target gNB</w:t>
            </w:r>
          </w:p>
        </w:tc>
        <w:tc>
          <w:tcPr>
            <w:tcW w:w="4084" w:type="dxa"/>
          </w:tcPr>
          <w:p>
            <w:pPr>
              <w:numPr>
                <w:ilvl w:val="0"/>
                <w:numId w:val="30"/>
              </w:num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Indicate the missing data, as informed in PDCP status report</w:t>
            </w:r>
          </w:p>
          <w:p>
            <w:pPr>
              <w:numPr>
                <w:ilvl w:val="0"/>
                <w:numId w:val="30"/>
              </w:num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 xml:space="preserve">None </w:t>
            </w:r>
          </w:p>
        </w:tc>
        <w:tc>
          <w:tcPr>
            <w:tcW w:w="4036" w:type="dxa"/>
          </w:tcPr>
          <w:p>
            <w:pPr>
              <w:numPr>
                <w:ilvl w:val="0"/>
                <w:numId w:val="31"/>
              </w:num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None</w:t>
            </w:r>
          </w:p>
          <w:p>
            <w:pPr>
              <w:numPr>
                <w:ilvl w:val="0"/>
                <w:numId w:val="31"/>
              </w:num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 xml:space="preserve">Discard the duplicated data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tcPr>
          <w:p>
            <w:p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Xn</w:t>
            </w:r>
          </w:p>
        </w:tc>
        <w:tc>
          <w:tcPr>
            <w:tcW w:w="4084" w:type="dxa"/>
          </w:tcPr>
          <w:p>
            <w:pPr>
              <w:numPr>
                <w:ilvl w:val="0"/>
                <w:numId w:val="32"/>
              </w:numPr>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Indicator from target gNB to source gNB</w:t>
            </w:r>
          </w:p>
          <w:p>
            <w:pPr>
              <w:numPr>
                <w:ilvl w:val="0"/>
                <w:numId w:val="32"/>
              </w:numPr>
              <w:ind w:left="0" w:leftChars="0" w:firstLine="0" w:firstLineChars="0"/>
              <w:jc w:val="both"/>
              <w:rPr>
                <w:rFonts w:hint="default"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 xml:space="preserve">Missing data </w:t>
            </w:r>
          </w:p>
        </w:tc>
        <w:tc>
          <w:tcPr>
            <w:tcW w:w="4036" w:type="dxa"/>
          </w:tcPr>
          <w:p>
            <w:pPr>
              <w:numPr>
                <w:ilvl w:val="0"/>
                <w:numId w:val="33"/>
              </w:numPr>
              <w:jc w:val="both"/>
              <w:rPr>
                <w:rFonts w:hint="eastAsia"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None</w:t>
            </w:r>
          </w:p>
          <w:p>
            <w:pPr>
              <w:numPr>
                <w:ilvl w:val="0"/>
                <w:numId w:val="33"/>
              </w:numPr>
              <w:jc w:val="both"/>
              <w:rPr>
                <w:rFonts w:hint="eastAsia" w:cs="Times New Roman"/>
                <w:b w:val="0"/>
                <w:bCs w:val="0"/>
                <w:sz w:val="20"/>
                <w:szCs w:val="20"/>
                <w:highlight w:val="none"/>
                <w:vertAlign w:val="baseline"/>
                <w:lang w:val="en-US" w:eastAsia="zh-CN"/>
              </w:rPr>
            </w:pPr>
            <w:r>
              <w:rPr>
                <w:rFonts w:hint="eastAsia" w:cs="Times New Roman"/>
                <w:b w:val="0"/>
                <w:bCs w:val="0"/>
                <w:sz w:val="20"/>
                <w:szCs w:val="20"/>
                <w:highlight w:val="none"/>
                <w:vertAlign w:val="baseline"/>
                <w:lang w:val="en-US" w:eastAsia="zh-CN"/>
              </w:rPr>
              <w:t>All data</w:t>
            </w:r>
          </w:p>
        </w:tc>
      </w:tr>
    </w:tbl>
    <w:p>
      <w:pPr>
        <w:jc w:val="both"/>
        <w:rPr>
          <w:rFonts w:hint="eastAsia" w:cs="Times New Roman"/>
          <w:b/>
          <w:bCs/>
          <w:sz w:val="20"/>
          <w:szCs w:val="20"/>
          <w:highlight w:val="none"/>
          <w:lang w:val="en-US" w:eastAsia="zh-CN"/>
        </w:rPr>
      </w:pPr>
    </w:p>
    <w:p>
      <w:pPr>
        <w:jc w:val="both"/>
        <w:rPr>
          <w:rFonts w:hint="default" w:cs="Times New Roman"/>
          <w:sz w:val="20"/>
          <w:szCs w:val="20"/>
          <w:highlight w:val="none"/>
          <w:lang w:val="en-US" w:eastAsia="zh-CN"/>
        </w:rPr>
      </w:pPr>
      <w:r>
        <w:rPr>
          <w:rFonts w:hint="eastAsia" w:cs="Times New Roman"/>
          <w:b/>
          <w:bCs/>
          <w:sz w:val="20"/>
          <w:szCs w:val="20"/>
          <w:highlight w:val="none"/>
          <w:lang w:val="en-US" w:eastAsia="zh-CN"/>
        </w:rPr>
        <w:t>Proposal 4: Supporting s</w:t>
      </w:r>
      <w:r>
        <w:rPr>
          <w:rFonts w:hint="eastAsia" w:eastAsia="宋体"/>
          <w:b/>
          <w:bCs/>
          <w:sz w:val="20"/>
          <w:szCs w:val="20"/>
          <w:lang w:eastAsia="zh-CN"/>
        </w:rPr>
        <w:t>olution-D5</w:t>
      </w:r>
      <w:r>
        <w:rPr>
          <w:rFonts w:hint="eastAsia" w:eastAsia="宋体"/>
          <w:b/>
          <w:bCs/>
          <w:sz w:val="20"/>
          <w:szCs w:val="20"/>
          <w:lang w:val="en-US" w:eastAsia="zh-CN"/>
        </w:rPr>
        <w:t xml:space="preserve"> as downlink lossless delivery solution.</w:t>
      </w:r>
    </w:p>
    <w:bookmarkEnd w:id="8"/>
    <w:p>
      <w:pPr>
        <w:pStyle w:val="2"/>
      </w:pPr>
      <w:r>
        <w:t>Conclusions</w:t>
      </w:r>
    </w:p>
    <w:p>
      <w:pPr>
        <w:rPr>
          <w:rFonts w:hint="eastAsia"/>
          <w:sz w:val="20"/>
          <w:szCs w:val="20"/>
        </w:rPr>
      </w:pPr>
      <w:r>
        <w:rPr>
          <w:rFonts w:hint="eastAsia"/>
          <w:sz w:val="20"/>
          <w:szCs w:val="20"/>
        </w:rPr>
        <w:t xml:space="preserve">According the above discussion we have following proposals: </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1: Indicator from target gNB to source gNB is needed to inform source gNB about the missing data as solution-D4.</w:t>
      </w:r>
    </w:p>
    <w:p>
      <w:pPr>
        <w:jc w:val="both"/>
        <w:rPr>
          <w:rFonts w:hint="eastAsia"/>
          <w:sz w:val="20"/>
          <w:szCs w:val="20"/>
        </w:rPr>
      </w:pPr>
      <w:r>
        <w:rPr>
          <w:rFonts w:hint="eastAsia" w:cs="Times New Roman"/>
          <w:b/>
          <w:bCs/>
          <w:sz w:val="20"/>
          <w:szCs w:val="20"/>
          <w:highlight w:val="none"/>
          <w:lang w:val="en-US" w:eastAsia="zh-CN"/>
        </w:rPr>
        <w:t>Proposal 2: Data forwarding procedure after RAN HO Completion shall be introduced as solution-D4.</w:t>
      </w:r>
    </w:p>
    <w:p>
      <w:pPr>
        <w:jc w:val="both"/>
        <w:rPr>
          <w:rFonts w:hint="eastAsia"/>
          <w:sz w:val="20"/>
          <w:szCs w:val="20"/>
        </w:rPr>
      </w:pPr>
      <w:r>
        <w:rPr>
          <w:rFonts w:hint="eastAsia" w:cs="Times New Roman"/>
          <w:b/>
          <w:bCs/>
          <w:sz w:val="20"/>
          <w:szCs w:val="20"/>
          <w:highlight w:val="none"/>
          <w:lang w:val="en-US" w:eastAsia="zh-CN"/>
        </w:rPr>
        <w:t>Proposal 3: Data forwarding procedure after RAN HO Completion shall be introduced as solution-D5.</w:t>
      </w:r>
    </w:p>
    <w:p>
      <w:pPr>
        <w:jc w:val="both"/>
        <w:rPr>
          <w:rFonts w:hint="eastAsia" w:ascii="Times New Roman" w:hAnsi="Times New Roman" w:cs="Times New Roman"/>
          <w:b/>
          <w:bCs/>
          <w:sz w:val="20"/>
          <w:szCs w:val="20"/>
          <w:lang w:val="en-US" w:eastAsia="zh-CN" w:bidi="ar-SA"/>
        </w:rPr>
      </w:pPr>
      <w:r>
        <w:rPr>
          <w:rFonts w:hint="eastAsia" w:cs="Times New Roman"/>
          <w:b/>
          <w:bCs/>
          <w:sz w:val="20"/>
          <w:szCs w:val="20"/>
          <w:highlight w:val="none"/>
          <w:lang w:val="en-US" w:eastAsia="zh-CN"/>
        </w:rPr>
        <w:t>Proposal 4: Supporting s</w:t>
      </w:r>
      <w:r>
        <w:rPr>
          <w:rFonts w:hint="eastAsia" w:eastAsia="宋体"/>
          <w:b/>
          <w:bCs/>
          <w:sz w:val="20"/>
          <w:szCs w:val="20"/>
          <w:lang w:eastAsia="zh-CN"/>
        </w:rPr>
        <w:t>olution-D5</w:t>
      </w:r>
      <w:r>
        <w:rPr>
          <w:rFonts w:hint="eastAsia" w:eastAsia="宋体"/>
          <w:b/>
          <w:bCs/>
          <w:sz w:val="20"/>
          <w:szCs w:val="20"/>
          <w:lang w:val="en-US" w:eastAsia="zh-CN"/>
        </w:rPr>
        <w:t xml:space="preserve"> as downlink lossless delivery solution.</w:t>
      </w:r>
    </w:p>
    <w:p>
      <w:pPr>
        <w:pStyle w:val="2"/>
      </w:pPr>
      <w:r>
        <w:t>References</w:t>
      </w:r>
    </w:p>
    <w:p>
      <w:pPr>
        <w:numPr>
          <w:ilvl w:val="0"/>
          <w:numId w:val="0"/>
        </w:numPr>
        <w:jc w:val="both"/>
        <w:rPr>
          <w:highlight w:val="green"/>
        </w:rPr>
      </w:pPr>
      <w:r>
        <w:rPr>
          <w:rFonts w:hint="eastAsia" w:cs="Times New Roman"/>
          <w:b w:val="0"/>
          <w:bCs w:val="0"/>
          <w:sz w:val="20"/>
          <w:szCs w:val="20"/>
          <w:lang w:val="en-US" w:eastAsia="zh-CN" w:bidi="ar-SA"/>
        </w:rPr>
        <w:t>[1] R2-2304305, Summary of candidate solutions for lossless delivery, NEC</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25A574"/>
    <w:multiLevelType w:val="singleLevel"/>
    <w:tmpl w:val="8E25A574"/>
    <w:lvl w:ilvl="0" w:tentative="0">
      <w:start w:val="1"/>
      <w:numFmt w:val="decimal"/>
      <w:suff w:val="space"/>
      <w:lvlText w:val="%1."/>
      <w:lvlJc w:val="left"/>
    </w:lvl>
  </w:abstractNum>
  <w:abstractNum w:abstractNumId="1">
    <w:nsid w:val="A86990D4"/>
    <w:multiLevelType w:val="singleLevel"/>
    <w:tmpl w:val="A86990D4"/>
    <w:lvl w:ilvl="0" w:tentative="0">
      <w:start w:val="1"/>
      <w:numFmt w:val="decimal"/>
      <w:suff w:val="space"/>
      <w:lvlText w:val="%1."/>
      <w:lvlJc w:val="left"/>
    </w:lvl>
  </w:abstractNum>
  <w:abstractNum w:abstractNumId="2">
    <w:nsid w:val="AE666962"/>
    <w:multiLevelType w:val="singleLevel"/>
    <w:tmpl w:val="AE666962"/>
    <w:lvl w:ilvl="0" w:tentative="0">
      <w:start w:val="1"/>
      <w:numFmt w:val="decimal"/>
      <w:suff w:val="space"/>
      <w:lvlText w:val="%1."/>
      <w:lvlJc w:val="left"/>
    </w:lvl>
  </w:abstractNum>
  <w:abstractNum w:abstractNumId="3">
    <w:nsid w:val="BA72E1E9"/>
    <w:multiLevelType w:val="singleLevel"/>
    <w:tmpl w:val="BA72E1E9"/>
    <w:lvl w:ilvl="0" w:tentative="0">
      <w:start w:val="1"/>
      <w:numFmt w:val="decimal"/>
      <w:suff w:val="space"/>
      <w:lvlText w:val="%1."/>
      <w:lvlJc w:val="left"/>
    </w:lvl>
  </w:abstractNum>
  <w:abstractNum w:abstractNumId="4">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103BC40"/>
    <w:multiLevelType w:val="singleLevel"/>
    <w:tmpl w:val="1103BC40"/>
    <w:lvl w:ilvl="0" w:tentative="0">
      <w:start w:val="1"/>
      <w:numFmt w:val="decimal"/>
      <w:suff w:val="space"/>
      <w:lvlText w:val="%1."/>
      <w:lvlJc w:val="left"/>
    </w:lvl>
  </w:abstractNum>
  <w:abstractNum w:abstractNumId="9">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0">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11">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4">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6">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9">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20">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2">
    <w:nsid w:val="5B125D4A"/>
    <w:multiLevelType w:val="singleLevel"/>
    <w:tmpl w:val="5B125D4A"/>
    <w:lvl w:ilvl="0" w:tentative="0">
      <w:start w:val="1"/>
      <w:numFmt w:val="decimal"/>
      <w:suff w:val="space"/>
      <w:lvlText w:val="%1."/>
      <w:lvlJc w:val="left"/>
    </w:lvl>
  </w:abstractNum>
  <w:abstractNum w:abstractNumId="23">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5">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9">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6"/>
  </w:num>
  <w:num w:numId="2">
    <w:abstractNumId w:val="4"/>
  </w:num>
  <w:num w:numId="3">
    <w:abstractNumId w:val="30"/>
  </w:num>
  <w:num w:numId="4">
    <w:abstractNumId w:val="16"/>
  </w:num>
  <w:num w:numId="5">
    <w:abstractNumId w:val="12"/>
  </w:num>
  <w:num w:numId="6">
    <w:abstractNumId w:val="14"/>
  </w:num>
  <w:num w:numId="7">
    <w:abstractNumId w:val="17"/>
  </w:num>
  <w:num w:numId="8">
    <w:abstractNumId w:val="18"/>
  </w:num>
  <w:num w:numId="9">
    <w:abstractNumId w:val="32"/>
  </w:num>
  <w:num w:numId="10">
    <w:abstractNumId w:val="19"/>
  </w:num>
  <w:num w:numId="11">
    <w:abstractNumId w:val="28"/>
  </w:num>
  <w:num w:numId="12">
    <w:abstractNumId w:val="15"/>
  </w:num>
  <w:num w:numId="13">
    <w:abstractNumId w:val="5"/>
  </w:num>
  <w:num w:numId="14">
    <w:abstractNumId w:val="7"/>
  </w:num>
  <w:num w:numId="15">
    <w:abstractNumId w:val="27"/>
  </w:num>
  <w:num w:numId="16">
    <w:abstractNumId w:val="11"/>
  </w:num>
  <w:num w:numId="17">
    <w:abstractNumId w:val="23"/>
  </w:num>
  <w:num w:numId="18">
    <w:abstractNumId w:val="29"/>
  </w:num>
  <w:num w:numId="19">
    <w:abstractNumId w:val="6"/>
  </w:num>
  <w:num w:numId="20">
    <w:abstractNumId w:val="31"/>
  </w:num>
  <w:num w:numId="21">
    <w:abstractNumId w:val="25"/>
  </w:num>
  <w:num w:numId="22">
    <w:abstractNumId w:val="13"/>
  </w:num>
  <w:num w:numId="23">
    <w:abstractNumId w:val="20"/>
  </w:num>
  <w:num w:numId="24">
    <w:abstractNumId w:val="21"/>
  </w:num>
  <w:num w:numId="25">
    <w:abstractNumId w:val="10"/>
  </w:num>
  <w:num w:numId="26">
    <w:abstractNumId w:val="9"/>
  </w:num>
  <w:num w:numId="27">
    <w:abstractNumId w:val="24"/>
  </w:num>
  <w:num w:numId="28">
    <w:abstractNumId w:val="3"/>
  </w:num>
  <w:num w:numId="29">
    <w:abstractNumId w:val="2"/>
  </w:num>
  <w:num w:numId="30">
    <w:abstractNumId w:val="22"/>
  </w:num>
  <w:num w:numId="31">
    <w:abstractNumId w:val="8"/>
  </w:num>
  <w:num w:numId="32">
    <w:abstractNumId w:val="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D4A41"/>
    <w:rsid w:val="02964C8C"/>
    <w:rsid w:val="02C34159"/>
    <w:rsid w:val="02EB1AD6"/>
    <w:rsid w:val="030848E7"/>
    <w:rsid w:val="030F7C19"/>
    <w:rsid w:val="032E5078"/>
    <w:rsid w:val="03A5049A"/>
    <w:rsid w:val="04080A73"/>
    <w:rsid w:val="042F14C5"/>
    <w:rsid w:val="045308D9"/>
    <w:rsid w:val="045D09F3"/>
    <w:rsid w:val="047A244B"/>
    <w:rsid w:val="04B42320"/>
    <w:rsid w:val="04E464D2"/>
    <w:rsid w:val="05900954"/>
    <w:rsid w:val="05E0590D"/>
    <w:rsid w:val="06217929"/>
    <w:rsid w:val="06313A82"/>
    <w:rsid w:val="0679036E"/>
    <w:rsid w:val="06AB36E3"/>
    <w:rsid w:val="06BD45EC"/>
    <w:rsid w:val="06F853B7"/>
    <w:rsid w:val="07056DF5"/>
    <w:rsid w:val="07627E4D"/>
    <w:rsid w:val="079A04BD"/>
    <w:rsid w:val="07BC1C0A"/>
    <w:rsid w:val="07E469BF"/>
    <w:rsid w:val="08174E79"/>
    <w:rsid w:val="08232463"/>
    <w:rsid w:val="08315CF8"/>
    <w:rsid w:val="08363A09"/>
    <w:rsid w:val="086D4748"/>
    <w:rsid w:val="08EB0C1D"/>
    <w:rsid w:val="08EF1C20"/>
    <w:rsid w:val="09196B83"/>
    <w:rsid w:val="0942392A"/>
    <w:rsid w:val="096B504E"/>
    <w:rsid w:val="098D32A6"/>
    <w:rsid w:val="099170BE"/>
    <w:rsid w:val="09AD672F"/>
    <w:rsid w:val="09BD6330"/>
    <w:rsid w:val="0A87677A"/>
    <w:rsid w:val="0AED09C6"/>
    <w:rsid w:val="0AF7356B"/>
    <w:rsid w:val="0B107D14"/>
    <w:rsid w:val="0B4340DF"/>
    <w:rsid w:val="0B6D0532"/>
    <w:rsid w:val="0B9D1EDA"/>
    <w:rsid w:val="0BEF6379"/>
    <w:rsid w:val="0C0C0559"/>
    <w:rsid w:val="0C284EC8"/>
    <w:rsid w:val="0C4A1412"/>
    <w:rsid w:val="0C973F44"/>
    <w:rsid w:val="0CB30B60"/>
    <w:rsid w:val="0CDE045E"/>
    <w:rsid w:val="0D2F3C11"/>
    <w:rsid w:val="0DAF5697"/>
    <w:rsid w:val="0E1405B2"/>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D60C00"/>
    <w:rsid w:val="15DD707B"/>
    <w:rsid w:val="1669724C"/>
    <w:rsid w:val="16C97B1E"/>
    <w:rsid w:val="170817DB"/>
    <w:rsid w:val="174C565A"/>
    <w:rsid w:val="17642A82"/>
    <w:rsid w:val="17A31993"/>
    <w:rsid w:val="17DA3C99"/>
    <w:rsid w:val="181C3988"/>
    <w:rsid w:val="1823211E"/>
    <w:rsid w:val="184F766C"/>
    <w:rsid w:val="1858112E"/>
    <w:rsid w:val="1870241B"/>
    <w:rsid w:val="18B67761"/>
    <w:rsid w:val="18DD4580"/>
    <w:rsid w:val="192A5F9C"/>
    <w:rsid w:val="19625EA7"/>
    <w:rsid w:val="1984295E"/>
    <w:rsid w:val="19905F39"/>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3A1DC0"/>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1E763AE"/>
    <w:rsid w:val="220021FF"/>
    <w:rsid w:val="22486A9B"/>
    <w:rsid w:val="22627E92"/>
    <w:rsid w:val="227007B2"/>
    <w:rsid w:val="239D1587"/>
    <w:rsid w:val="242840FD"/>
    <w:rsid w:val="243D7BB4"/>
    <w:rsid w:val="245576DD"/>
    <w:rsid w:val="24CA4CB9"/>
    <w:rsid w:val="25024BF1"/>
    <w:rsid w:val="25277A37"/>
    <w:rsid w:val="252F40FE"/>
    <w:rsid w:val="254F64C4"/>
    <w:rsid w:val="25506221"/>
    <w:rsid w:val="257C3069"/>
    <w:rsid w:val="25A66C1E"/>
    <w:rsid w:val="25A72122"/>
    <w:rsid w:val="25BA7556"/>
    <w:rsid w:val="25C703D4"/>
    <w:rsid w:val="25DC19FF"/>
    <w:rsid w:val="2611234C"/>
    <w:rsid w:val="26157A9A"/>
    <w:rsid w:val="262A7837"/>
    <w:rsid w:val="264A04A5"/>
    <w:rsid w:val="267326C4"/>
    <w:rsid w:val="26770BF0"/>
    <w:rsid w:val="26784C00"/>
    <w:rsid w:val="26EB4E1D"/>
    <w:rsid w:val="26FF5A08"/>
    <w:rsid w:val="276F47C4"/>
    <w:rsid w:val="27966C3D"/>
    <w:rsid w:val="27AE3022"/>
    <w:rsid w:val="28202FCE"/>
    <w:rsid w:val="285C498E"/>
    <w:rsid w:val="28660188"/>
    <w:rsid w:val="288D4CC2"/>
    <w:rsid w:val="28A94470"/>
    <w:rsid w:val="28EB3A97"/>
    <w:rsid w:val="28F858F5"/>
    <w:rsid w:val="2900412E"/>
    <w:rsid w:val="290B640E"/>
    <w:rsid w:val="29653351"/>
    <w:rsid w:val="29675EF0"/>
    <w:rsid w:val="29C31412"/>
    <w:rsid w:val="2A4A7473"/>
    <w:rsid w:val="2AD838B4"/>
    <w:rsid w:val="2B1859F0"/>
    <w:rsid w:val="2B1F140B"/>
    <w:rsid w:val="2B886824"/>
    <w:rsid w:val="2BE14068"/>
    <w:rsid w:val="2C7E00A0"/>
    <w:rsid w:val="2CF36669"/>
    <w:rsid w:val="2D0265D3"/>
    <w:rsid w:val="2D397C4C"/>
    <w:rsid w:val="2D446AC7"/>
    <w:rsid w:val="2DA47739"/>
    <w:rsid w:val="2DC430C3"/>
    <w:rsid w:val="2E051F82"/>
    <w:rsid w:val="2E4329AA"/>
    <w:rsid w:val="2E6C1280"/>
    <w:rsid w:val="2E752D06"/>
    <w:rsid w:val="2E933902"/>
    <w:rsid w:val="2ED536B1"/>
    <w:rsid w:val="2EF129F8"/>
    <w:rsid w:val="2F7A3D01"/>
    <w:rsid w:val="302C20AA"/>
    <w:rsid w:val="30881314"/>
    <w:rsid w:val="30CC7FB1"/>
    <w:rsid w:val="30E65C36"/>
    <w:rsid w:val="313C0D86"/>
    <w:rsid w:val="31A73770"/>
    <w:rsid w:val="329D4E6D"/>
    <w:rsid w:val="32A11937"/>
    <w:rsid w:val="32A82519"/>
    <w:rsid w:val="32CB3652"/>
    <w:rsid w:val="32CD430A"/>
    <w:rsid w:val="32E227D9"/>
    <w:rsid w:val="33080D5E"/>
    <w:rsid w:val="333541A9"/>
    <w:rsid w:val="333B18DB"/>
    <w:rsid w:val="33717AE2"/>
    <w:rsid w:val="33AF24D1"/>
    <w:rsid w:val="33C807CE"/>
    <w:rsid w:val="34583C03"/>
    <w:rsid w:val="348F73AD"/>
    <w:rsid w:val="34933CBE"/>
    <w:rsid w:val="34DD24FD"/>
    <w:rsid w:val="357D2CB0"/>
    <w:rsid w:val="359A3911"/>
    <w:rsid w:val="359D7F5F"/>
    <w:rsid w:val="35A00268"/>
    <w:rsid w:val="36B0140A"/>
    <w:rsid w:val="36D754DE"/>
    <w:rsid w:val="373C0908"/>
    <w:rsid w:val="3754317B"/>
    <w:rsid w:val="376343E3"/>
    <w:rsid w:val="37D116D4"/>
    <w:rsid w:val="38765B93"/>
    <w:rsid w:val="38AA05FF"/>
    <w:rsid w:val="38E00D4B"/>
    <w:rsid w:val="39390E32"/>
    <w:rsid w:val="397E30A1"/>
    <w:rsid w:val="39BD417A"/>
    <w:rsid w:val="39DC7A5C"/>
    <w:rsid w:val="3A30015A"/>
    <w:rsid w:val="3A992A45"/>
    <w:rsid w:val="3A9A0868"/>
    <w:rsid w:val="3B45403E"/>
    <w:rsid w:val="3BBB55F3"/>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7417EF"/>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B3AE6"/>
    <w:rsid w:val="46EF197F"/>
    <w:rsid w:val="46FB1DBC"/>
    <w:rsid w:val="476F6DEB"/>
    <w:rsid w:val="48005341"/>
    <w:rsid w:val="48287A01"/>
    <w:rsid w:val="48531F4C"/>
    <w:rsid w:val="485775EC"/>
    <w:rsid w:val="485E1AE5"/>
    <w:rsid w:val="4883458D"/>
    <w:rsid w:val="48865FC7"/>
    <w:rsid w:val="490C46B1"/>
    <w:rsid w:val="49196BD9"/>
    <w:rsid w:val="493E309A"/>
    <w:rsid w:val="4944338E"/>
    <w:rsid w:val="49591134"/>
    <w:rsid w:val="49750A69"/>
    <w:rsid w:val="499D10E1"/>
    <w:rsid w:val="49D54A18"/>
    <w:rsid w:val="49E46EA6"/>
    <w:rsid w:val="49FB4FB3"/>
    <w:rsid w:val="4A0F32E7"/>
    <w:rsid w:val="4A1E34CC"/>
    <w:rsid w:val="4A221AB4"/>
    <w:rsid w:val="4A660B78"/>
    <w:rsid w:val="4A75754C"/>
    <w:rsid w:val="4A92169B"/>
    <w:rsid w:val="4AA36B7E"/>
    <w:rsid w:val="4AA8165B"/>
    <w:rsid w:val="4AA86352"/>
    <w:rsid w:val="4AB663E9"/>
    <w:rsid w:val="4AB76A5B"/>
    <w:rsid w:val="4BA74DFA"/>
    <w:rsid w:val="4BB1377A"/>
    <w:rsid w:val="4BCA26AA"/>
    <w:rsid w:val="4BCE03ED"/>
    <w:rsid w:val="4BDD6F76"/>
    <w:rsid w:val="4C003135"/>
    <w:rsid w:val="4C013913"/>
    <w:rsid w:val="4C1646FF"/>
    <w:rsid w:val="4C61521F"/>
    <w:rsid w:val="4C792F14"/>
    <w:rsid w:val="4C7E7582"/>
    <w:rsid w:val="4CA43A25"/>
    <w:rsid w:val="4CDF6BF1"/>
    <w:rsid w:val="4D0B2317"/>
    <w:rsid w:val="4D530ADD"/>
    <w:rsid w:val="4DAE0631"/>
    <w:rsid w:val="4DFA408F"/>
    <w:rsid w:val="4E075C1C"/>
    <w:rsid w:val="4E6423E7"/>
    <w:rsid w:val="4F0E74E4"/>
    <w:rsid w:val="4F8E3C09"/>
    <w:rsid w:val="4F9A23CE"/>
    <w:rsid w:val="5003323D"/>
    <w:rsid w:val="500D6DA7"/>
    <w:rsid w:val="50265CE3"/>
    <w:rsid w:val="506C7C75"/>
    <w:rsid w:val="50D17923"/>
    <w:rsid w:val="51390CEF"/>
    <w:rsid w:val="51452B0B"/>
    <w:rsid w:val="517035C7"/>
    <w:rsid w:val="51BD3E49"/>
    <w:rsid w:val="5245168D"/>
    <w:rsid w:val="524652A7"/>
    <w:rsid w:val="527B5C87"/>
    <w:rsid w:val="530128AB"/>
    <w:rsid w:val="5306085A"/>
    <w:rsid w:val="533C6DEA"/>
    <w:rsid w:val="54363813"/>
    <w:rsid w:val="54881577"/>
    <w:rsid w:val="549E77D2"/>
    <w:rsid w:val="54B57839"/>
    <w:rsid w:val="55013843"/>
    <w:rsid w:val="553C28FF"/>
    <w:rsid w:val="55493E0E"/>
    <w:rsid w:val="55762284"/>
    <w:rsid w:val="55806ED8"/>
    <w:rsid w:val="5595273D"/>
    <w:rsid w:val="55A27FF4"/>
    <w:rsid w:val="55AA5A00"/>
    <w:rsid w:val="55D86D68"/>
    <w:rsid w:val="56094020"/>
    <w:rsid w:val="562B1FCE"/>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59096D"/>
    <w:rsid w:val="598307B6"/>
    <w:rsid w:val="5A0751DF"/>
    <w:rsid w:val="5A36690C"/>
    <w:rsid w:val="5A9364AA"/>
    <w:rsid w:val="5A975A33"/>
    <w:rsid w:val="5A9E094C"/>
    <w:rsid w:val="5ADB255F"/>
    <w:rsid w:val="5AF05072"/>
    <w:rsid w:val="5B65364C"/>
    <w:rsid w:val="5B7261F7"/>
    <w:rsid w:val="5BC64B0C"/>
    <w:rsid w:val="5BF131EC"/>
    <w:rsid w:val="5BFF7E9B"/>
    <w:rsid w:val="5C6E5495"/>
    <w:rsid w:val="5CBD41C9"/>
    <w:rsid w:val="5CE2002D"/>
    <w:rsid w:val="5D2B6741"/>
    <w:rsid w:val="5D3C25A7"/>
    <w:rsid w:val="5D8461BB"/>
    <w:rsid w:val="5DB37A28"/>
    <w:rsid w:val="5E6231C2"/>
    <w:rsid w:val="5EA740E5"/>
    <w:rsid w:val="5ED977C2"/>
    <w:rsid w:val="5F0C6534"/>
    <w:rsid w:val="5F1B13C2"/>
    <w:rsid w:val="5F296D83"/>
    <w:rsid w:val="5F3A587A"/>
    <w:rsid w:val="5F5F66B6"/>
    <w:rsid w:val="5F7D1182"/>
    <w:rsid w:val="5F885F64"/>
    <w:rsid w:val="601042AB"/>
    <w:rsid w:val="60476847"/>
    <w:rsid w:val="606C6E90"/>
    <w:rsid w:val="60743A6C"/>
    <w:rsid w:val="608E0279"/>
    <w:rsid w:val="60B92F7D"/>
    <w:rsid w:val="60F729B1"/>
    <w:rsid w:val="61AC68AE"/>
    <w:rsid w:val="61E56A91"/>
    <w:rsid w:val="61EF5BCF"/>
    <w:rsid w:val="625A56DC"/>
    <w:rsid w:val="627A203F"/>
    <w:rsid w:val="629E1070"/>
    <w:rsid w:val="62B578A9"/>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DF09A4"/>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AE43F15"/>
    <w:rsid w:val="6B027B91"/>
    <w:rsid w:val="6B3055CD"/>
    <w:rsid w:val="6B47388C"/>
    <w:rsid w:val="6B58643F"/>
    <w:rsid w:val="6B5A3D5E"/>
    <w:rsid w:val="6B806CC6"/>
    <w:rsid w:val="6BC94603"/>
    <w:rsid w:val="6C045DE5"/>
    <w:rsid w:val="6C30519E"/>
    <w:rsid w:val="6C340669"/>
    <w:rsid w:val="6C5947BF"/>
    <w:rsid w:val="6C6F1644"/>
    <w:rsid w:val="6C8B7B7D"/>
    <w:rsid w:val="6CED6020"/>
    <w:rsid w:val="6D185857"/>
    <w:rsid w:val="6D2115AE"/>
    <w:rsid w:val="6D29145A"/>
    <w:rsid w:val="6D4F21E4"/>
    <w:rsid w:val="6DA80A88"/>
    <w:rsid w:val="6E1C1ECF"/>
    <w:rsid w:val="6E207D23"/>
    <w:rsid w:val="6EBC1F7A"/>
    <w:rsid w:val="6EDE6175"/>
    <w:rsid w:val="6EE01391"/>
    <w:rsid w:val="6EE26350"/>
    <w:rsid w:val="6F122C4D"/>
    <w:rsid w:val="6FB67CAC"/>
    <w:rsid w:val="6FB924D4"/>
    <w:rsid w:val="6FFD43BC"/>
    <w:rsid w:val="70437D94"/>
    <w:rsid w:val="705B2CC4"/>
    <w:rsid w:val="706B1388"/>
    <w:rsid w:val="710B205E"/>
    <w:rsid w:val="71362F62"/>
    <w:rsid w:val="71607594"/>
    <w:rsid w:val="71792263"/>
    <w:rsid w:val="72663470"/>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45038"/>
    <w:rsid w:val="74DC7528"/>
    <w:rsid w:val="74E60778"/>
    <w:rsid w:val="7513388E"/>
    <w:rsid w:val="7532441A"/>
    <w:rsid w:val="759E5E48"/>
    <w:rsid w:val="765B029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14351"/>
    <w:rsid w:val="7A9F3973"/>
    <w:rsid w:val="7AC66594"/>
    <w:rsid w:val="7AC90139"/>
    <w:rsid w:val="7AD11063"/>
    <w:rsid w:val="7B1C4980"/>
    <w:rsid w:val="7B202D13"/>
    <w:rsid w:val="7B3A2D1E"/>
    <w:rsid w:val="7B7F22C5"/>
    <w:rsid w:val="7B9C4E24"/>
    <w:rsid w:val="7C764052"/>
    <w:rsid w:val="7CE970F5"/>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1"/>
    <w:next w:val="1"/>
    <w:link w:val="93"/>
    <w:qFormat/>
    <w:uiPriority w:val="0"/>
    <w:pPr>
      <w:spacing w:before="120"/>
      <w:outlineLvl w:val="2"/>
    </w:pPr>
  </w:style>
  <w:style w:type="paragraph" w:styleId="5">
    <w:name w:val="heading 4"/>
    <w:basedOn w:val="1"/>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2</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cp:lastModifiedBy>
  <cp:lastPrinted>2018-09-28T06:47:00Z</cp:lastPrinted>
  <dcterms:modified xsi:type="dcterms:W3CDTF">2023-08-11T06:03:30Z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